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57" w:type="dxa"/>
          <w:right w:w="57" w:type="dxa"/>
        </w:tblCellMar>
        <w:tblLook w:val="00A0" w:firstRow="1" w:lastRow="0" w:firstColumn="1" w:lastColumn="0" w:noHBand="0" w:noVBand="0"/>
      </w:tblPr>
      <w:tblGrid>
        <w:gridCol w:w="10071"/>
        <w:gridCol w:w="4501"/>
      </w:tblGrid>
      <w:tr w:rsidR="0069188A" w:rsidRPr="00EA6EFB" w:rsidTr="00D2297E">
        <w:trPr>
          <w:trHeight w:hRule="exact" w:val="284"/>
        </w:trPr>
        <w:tc>
          <w:tcPr>
            <w:tcW w:w="14572" w:type="dxa"/>
            <w:gridSpan w:val="2"/>
            <w:tcBorders>
              <w:bottom w:val="single" w:sz="4" w:space="0" w:color="auto"/>
            </w:tcBorders>
            <w:shd w:val="clear" w:color="auto" w:fill="F18213"/>
            <w:tcMar>
              <w:top w:w="57" w:type="dxa"/>
              <w:bottom w:w="57" w:type="dxa"/>
            </w:tcMar>
            <w:vAlign w:val="center"/>
          </w:tcPr>
          <w:p w:rsidR="0069188A" w:rsidRPr="00EA6EFB" w:rsidRDefault="00697EB4" w:rsidP="00D2297E">
            <w:pPr>
              <w:tabs>
                <w:tab w:val="right" w:pos="14356"/>
              </w:tabs>
              <w:spacing w:line="240" w:lineRule="auto"/>
              <w:rPr>
                <w:i/>
                <w:sz w:val="18"/>
                <w:szCs w:val="18"/>
              </w:rPr>
            </w:pPr>
            <w:r>
              <w:rPr>
                <w:b/>
                <w:color w:val="FFFFFF" w:themeColor="background1"/>
                <w:sz w:val="18"/>
                <w:szCs w:val="18"/>
              </w:rPr>
              <w:t xml:space="preserve">VSA.03 </w:t>
            </w:r>
            <w:r w:rsidR="003D0430">
              <w:rPr>
                <w:b/>
                <w:color w:val="FFFFFF" w:themeColor="background1"/>
                <w:sz w:val="18"/>
                <w:szCs w:val="18"/>
              </w:rPr>
              <w:t>VERENIGINGSONDERSTEUNER</w:t>
            </w:r>
            <w:r w:rsidR="00F436C5">
              <w:rPr>
                <w:b/>
                <w:color w:val="FFFFFF" w:themeColor="background1"/>
                <w:sz w:val="18"/>
                <w:szCs w:val="18"/>
              </w:rPr>
              <w:t xml:space="preserve"> I</w:t>
            </w:r>
            <w:r w:rsidR="0069188A" w:rsidRPr="00EA6EFB">
              <w:rPr>
                <w:b/>
                <w:color w:val="FFFFFF" w:themeColor="background1"/>
                <w:sz w:val="18"/>
                <w:szCs w:val="18"/>
              </w:rPr>
              <w:tab/>
            </w:r>
            <w:r w:rsidR="0069188A" w:rsidRPr="00EA6EFB">
              <w:rPr>
                <w:color w:val="FFFFFF" w:themeColor="background1"/>
                <w:sz w:val="18"/>
                <w:szCs w:val="18"/>
              </w:rPr>
              <w:t xml:space="preserve">Functiefamilie: </w:t>
            </w:r>
            <w:r w:rsidR="00F436C5">
              <w:rPr>
                <w:color w:val="FFFFFF" w:themeColor="background1"/>
                <w:sz w:val="18"/>
                <w:szCs w:val="18"/>
              </w:rPr>
              <w:t>service &amp; -advies</w:t>
            </w:r>
          </w:p>
        </w:tc>
      </w:tr>
      <w:tr w:rsidR="008A4466" w:rsidRPr="00EA6EFB" w:rsidTr="001603C7">
        <w:trPr>
          <w:trHeight w:val="1463"/>
        </w:trPr>
        <w:tc>
          <w:tcPr>
            <w:tcW w:w="14572" w:type="dxa"/>
            <w:gridSpan w:val="2"/>
            <w:tcBorders>
              <w:top w:val="single" w:sz="4" w:space="0" w:color="auto"/>
              <w:bottom w:val="single" w:sz="4" w:space="0" w:color="auto"/>
            </w:tcBorders>
            <w:tcMar>
              <w:top w:w="57" w:type="dxa"/>
              <w:bottom w:w="57" w:type="dxa"/>
            </w:tcMar>
          </w:tcPr>
          <w:p w:rsidR="008A4466" w:rsidRPr="00EA6EFB" w:rsidRDefault="008A4466" w:rsidP="00DE4F14">
            <w:pPr>
              <w:spacing w:line="240" w:lineRule="auto"/>
              <w:rPr>
                <w:b/>
                <w:color w:val="F18213"/>
                <w:sz w:val="18"/>
                <w:szCs w:val="18"/>
                <w:lang w:bidi="x-none"/>
              </w:rPr>
            </w:pPr>
            <w:r w:rsidRPr="00EA6EFB">
              <w:rPr>
                <w:b/>
                <w:color w:val="F18213"/>
                <w:sz w:val="18"/>
                <w:szCs w:val="18"/>
              </w:rPr>
              <w:t>Context</w:t>
            </w:r>
          </w:p>
          <w:p w:rsidR="00DE4F14" w:rsidRPr="00D06CB4" w:rsidRDefault="00DE4F14" w:rsidP="00DE4F14">
            <w:pPr>
              <w:spacing w:line="240" w:lineRule="auto"/>
              <w:rPr>
                <w:rFonts w:cs="Arial"/>
                <w:color w:val="000000" w:themeColor="text1"/>
                <w:sz w:val="18"/>
                <w:szCs w:val="18"/>
              </w:rPr>
            </w:pPr>
            <w:r w:rsidRPr="00E4718C">
              <w:rPr>
                <w:rFonts w:cs="Arial"/>
                <w:sz w:val="18"/>
                <w:szCs w:val="18"/>
              </w:rPr>
              <w:t xml:space="preserve">De functie </w:t>
            </w:r>
            <w:r>
              <w:rPr>
                <w:rFonts w:cs="Arial"/>
                <w:color w:val="000000" w:themeColor="text1"/>
                <w:sz w:val="18"/>
                <w:szCs w:val="18"/>
              </w:rPr>
              <w:t xml:space="preserve">is </w:t>
            </w:r>
            <w:r>
              <w:rPr>
                <w:rFonts w:cs="Arial"/>
                <w:sz w:val="18"/>
                <w:szCs w:val="18"/>
              </w:rPr>
              <w:t>gepositioneerd</w:t>
            </w:r>
            <w:r w:rsidRPr="00D06CB4">
              <w:rPr>
                <w:rFonts w:cs="Arial"/>
                <w:color w:val="000000" w:themeColor="text1"/>
                <w:sz w:val="18"/>
                <w:szCs w:val="18"/>
              </w:rPr>
              <w:t xml:space="preserve"> </w:t>
            </w:r>
            <w:r w:rsidRPr="00E4718C">
              <w:rPr>
                <w:rFonts w:cs="Arial"/>
                <w:sz w:val="18"/>
                <w:szCs w:val="18"/>
              </w:rPr>
              <w:t>binnen een sportbond</w:t>
            </w:r>
            <w:r>
              <w:rPr>
                <w:rFonts w:cs="Arial"/>
                <w:sz w:val="18"/>
                <w:szCs w:val="18"/>
              </w:rPr>
              <w:t xml:space="preserve"> die zich inzet</w:t>
            </w:r>
            <w:r w:rsidRPr="00E4718C">
              <w:rPr>
                <w:rFonts w:cs="Arial"/>
                <w:sz w:val="18"/>
                <w:szCs w:val="18"/>
              </w:rPr>
              <w:t xml:space="preserve"> </w:t>
            </w:r>
            <w:r w:rsidRPr="00D06CB4">
              <w:rPr>
                <w:rFonts w:cs="Arial"/>
                <w:color w:val="000000" w:themeColor="text1"/>
                <w:sz w:val="18"/>
                <w:szCs w:val="18"/>
              </w:rPr>
              <w:t xml:space="preserve">voor </w:t>
            </w:r>
            <w:r>
              <w:rPr>
                <w:rFonts w:cs="Arial"/>
                <w:color w:val="000000" w:themeColor="text1"/>
                <w:sz w:val="18"/>
                <w:szCs w:val="18"/>
              </w:rPr>
              <w:t xml:space="preserve">(plm. 500) </w:t>
            </w:r>
            <w:r w:rsidRPr="00D06CB4">
              <w:rPr>
                <w:rFonts w:cs="Arial"/>
                <w:color w:val="000000" w:themeColor="text1"/>
                <w:sz w:val="18"/>
                <w:szCs w:val="18"/>
              </w:rPr>
              <w:t xml:space="preserve">aangesloten </w:t>
            </w:r>
            <w:r>
              <w:rPr>
                <w:rFonts w:cs="Arial"/>
                <w:color w:val="000000" w:themeColor="text1"/>
                <w:sz w:val="18"/>
                <w:szCs w:val="18"/>
              </w:rPr>
              <w:t xml:space="preserve">verenigingen </w:t>
            </w:r>
            <w:r w:rsidRPr="00D06CB4">
              <w:rPr>
                <w:rFonts w:cs="Arial"/>
                <w:color w:val="000000" w:themeColor="text1"/>
                <w:sz w:val="18"/>
                <w:szCs w:val="18"/>
              </w:rPr>
              <w:t xml:space="preserve">en (top)sporters </w:t>
            </w:r>
            <w:r>
              <w:rPr>
                <w:rFonts w:cs="Arial"/>
                <w:color w:val="000000" w:themeColor="text1"/>
                <w:sz w:val="18"/>
                <w:szCs w:val="18"/>
              </w:rPr>
              <w:t xml:space="preserve">(plm. 150.000) </w:t>
            </w:r>
            <w:r w:rsidRPr="00D06CB4">
              <w:rPr>
                <w:rFonts w:cs="Arial"/>
                <w:color w:val="000000" w:themeColor="text1"/>
                <w:sz w:val="18"/>
                <w:szCs w:val="18"/>
              </w:rPr>
              <w:t>op het gebied van accommodatie, opleiding, promotie v</w:t>
            </w:r>
            <w:r>
              <w:rPr>
                <w:rFonts w:cs="Arial"/>
                <w:color w:val="000000" w:themeColor="text1"/>
                <w:sz w:val="18"/>
                <w:szCs w:val="18"/>
              </w:rPr>
              <w:t>an de sport en</w:t>
            </w:r>
            <w:r w:rsidRPr="00D06CB4">
              <w:rPr>
                <w:rFonts w:cs="Arial"/>
                <w:color w:val="000000" w:themeColor="text1"/>
                <w:sz w:val="18"/>
                <w:szCs w:val="18"/>
              </w:rPr>
              <w:t xml:space="preserve"> sportontwikkeling (breedtesport)</w:t>
            </w:r>
            <w:r>
              <w:rPr>
                <w:rFonts w:cs="Arial"/>
                <w:color w:val="000000" w:themeColor="text1"/>
                <w:sz w:val="18"/>
                <w:szCs w:val="18"/>
              </w:rPr>
              <w:t xml:space="preserve">. Daarnaast </w:t>
            </w:r>
            <w:r w:rsidRPr="00D06CB4">
              <w:rPr>
                <w:rFonts w:cs="Arial"/>
                <w:color w:val="000000" w:themeColor="text1"/>
                <w:sz w:val="18"/>
                <w:szCs w:val="18"/>
              </w:rPr>
              <w:t xml:space="preserve">behartigt </w:t>
            </w:r>
            <w:r>
              <w:rPr>
                <w:rFonts w:cs="Arial"/>
                <w:color w:val="000000" w:themeColor="text1"/>
                <w:sz w:val="18"/>
                <w:szCs w:val="18"/>
              </w:rPr>
              <w:t xml:space="preserve">ze </w:t>
            </w:r>
            <w:r w:rsidRPr="00D06CB4">
              <w:rPr>
                <w:rFonts w:cs="Arial"/>
                <w:color w:val="000000" w:themeColor="text1"/>
                <w:sz w:val="18"/>
                <w:szCs w:val="18"/>
              </w:rPr>
              <w:t xml:space="preserve">de belangen van de topsport ten behoeve van uitzendingen naar EK’s, WK’s en Olympische spelen. </w:t>
            </w:r>
            <w:r>
              <w:rPr>
                <w:rFonts w:cs="Arial"/>
                <w:color w:val="000000" w:themeColor="text1"/>
                <w:sz w:val="18"/>
                <w:szCs w:val="18"/>
              </w:rPr>
              <w:t xml:space="preserve">Er zijn in totaal ongeveer 75 medewerkers werkzaam bij de bond. Daarnaast zijn veel </w:t>
            </w:r>
            <w:r w:rsidRPr="00D06CB4">
              <w:rPr>
                <w:rFonts w:cs="Arial"/>
                <w:color w:val="000000" w:themeColor="text1"/>
                <w:sz w:val="18"/>
                <w:szCs w:val="18"/>
              </w:rPr>
              <w:t>vrijwilligers actief in commissies en werkgroepen.</w:t>
            </w:r>
          </w:p>
          <w:p w:rsidR="008A4466" w:rsidRPr="00EA6EFB" w:rsidRDefault="003B16B5" w:rsidP="00DE4F14">
            <w:pPr>
              <w:spacing w:line="240" w:lineRule="auto"/>
              <w:rPr>
                <w:color w:val="auto"/>
                <w:sz w:val="18"/>
                <w:szCs w:val="18"/>
              </w:rPr>
            </w:pPr>
            <w:r>
              <w:rPr>
                <w:color w:val="000000" w:themeColor="text1"/>
                <w:sz w:val="18"/>
                <w:szCs w:val="18"/>
              </w:rPr>
              <w:t>Binnen de afdeling dienstverlening is, naast verenigingsadvies, het team ledenservice geplaatst. De ledenservice is verantwoordelijk voor de service en informatieverstrekking aan en klachtafhandeling van leden. Daarnaast verzorgt het team het administratief beheer van het relatiebestand (leden, trainers, docenten etc.). Het team ledenservice ondersteunt het team verenigingsadvies</w:t>
            </w:r>
            <w:r w:rsidR="00D1065E">
              <w:rPr>
                <w:color w:val="000000" w:themeColor="text1"/>
                <w:sz w:val="18"/>
                <w:szCs w:val="18"/>
              </w:rPr>
              <w:t xml:space="preserve"> </w:t>
            </w:r>
            <w:r>
              <w:rPr>
                <w:color w:val="000000" w:themeColor="text1"/>
                <w:sz w:val="18"/>
                <w:szCs w:val="18"/>
              </w:rPr>
              <w:t>(buitendienst t.b.v. verenigingsadvies) op administratie</w:t>
            </w:r>
            <w:r w:rsidR="009F3EFD">
              <w:rPr>
                <w:color w:val="000000" w:themeColor="text1"/>
                <w:sz w:val="18"/>
                <w:szCs w:val="18"/>
              </w:rPr>
              <w:t>f</w:t>
            </w:r>
            <w:r>
              <w:rPr>
                <w:color w:val="000000" w:themeColor="text1"/>
                <w:sz w:val="18"/>
                <w:szCs w:val="18"/>
              </w:rPr>
              <w:t xml:space="preserve"> en secretarieel gebied. </w:t>
            </w:r>
            <w:r w:rsidRPr="00C67CEA">
              <w:rPr>
                <w:color w:val="auto"/>
                <w:sz w:val="18"/>
                <w:szCs w:val="18"/>
              </w:rPr>
              <w:t xml:space="preserve">De </w:t>
            </w:r>
            <w:r w:rsidR="00725C19">
              <w:rPr>
                <w:color w:val="auto"/>
                <w:sz w:val="18"/>
                <w:szCs w:val="18"/>
              </w:rPr>
              <w:t>verenigingsondersteuner</w:t>
            </w:r>
            <w:r w:rsidRPr="00C67CEA">
              <w:rPr>
                <w:color w:val="auto"/>
                <w:sz w:val="18"/>
                <w:szCs w:val="18"/>
              </w:rPr>
              <w:t xml:space="preserve"> </w:t>
            </w:r>
            <w:r w:rsidR="00416CAB">
              <w:rPr>
                <w:color w:val="auto"/>
                <w:sz w:val="18"/>
                <w:szCs w:val="18"/>
              </w:rPr>
              <w:t xml:space="preserve">I </w:t>
            </w:r>
            <w:r w:rsidRPr="00C67CEA">
              <w:rPr>
                <w:color w:val="auto"/>
                <w:sz w:val="18"/>
                <w:szCs w:val="18"/>
              </w:rPr>
              <w:t xml:space="preserve">beantwoordt </w:t>
            </w:r>
            <w:r w:rsidR="00E2444C">
              <w:rPr>
                <w:color w:val="auto"/>
                <w:sz w:val="18"/>
                <w:szCs w:val="18"/>
              </w:rPr>
              <w:t xml:space="preserve">vanuit de binnendienst </w:t>
            </w:r>
            <w:r w:rsidR="00725C19">
              <w:rPr>
                <w:color w:val="auto"/>
                <w:sz w:val="18"/>
                <w:szCs w:val="18"/>
              </w:rPr>
              <w:t>specifieke (</w:t>
            </w:r>
            <w:r w:rsidR="009F3EFD">
              <w:rPr>
                <w:color w:val="auto"/>
                <w:sz w:val="18"/>
                <w:szCs w:val="18"/>
              </w:rPr>
              <w:t>tweede</w:t>
            </w:r>
            <w:r w:rsidR="00725C19">
              <w:rPr>
                <w:color w:val="auto"/>
                <w:sz w:val="18"/>
                <w:szCs w:val="18"/>
              </w:rPr>
              <w:t>lijns)</w:t>
            </w:r>
            <w:r w:rsidRPr="00C67CEA">
              <w:rPr>
                <w:color w:val="auto"/>
                <w:sz w:val="18"/>
                <w:szCs w:val="18"/>
              </w:rPr>
              <w:t xml:space="preserve"> </w:t>
            </w:r>
            <w:r w:rsidR="00725C19">
              <w:rPr>
                <w:color w:val="auto"/>
                <w:sz w:val="18"/>
                <w:szCs w:val="18"/>
              </w:rPr>
              <w:t xml:space="preserve">inhoudelijke ledenvragen </w:t>
            </w:r>
            <w:r w:rsidR="009F3EFD">
              <w:rPr>
                <w:color w:val="auto"/>
                <w:sz w:val="18"/>
                <w:szCs w:val="18"/>
              </w:rPr>
              <w:t>over</w:t>
            </w:r>
            <w:r w:rsidR="00725C19">
              <w:rPr>
                <w:color w:val="auto"/>
                <w:sz w:val="18"/>
                <w:szCs w:val="18"/>
              </w:rPr>
              <w:t xml:space="preserve"> werkgeverszaken</w:t>
            </w:r>
            <w:r w:rsidR="003903E9">
              <w:rPr>
                <w:color w:val="auto"/>
                <w:sz w:val="18"/>
                <w:szCs w:val="18"/>
              </w:rPr>
              <w:t>, matching trainers en verenigingen</w:t>
            </w:r>
            <w:r w:rsidR="00725C19">
              <w:rPr>
                <w:color w:val="auto"/>
                <w:sz w:val="18"/>
                <w:szCs w:val="18"/>
              </w:rPr>
              <w:t>, het (aanvullende) dienstverleningspakket van de bond en serviceverlening (collectieve overeenkomsten etc.)</w:t>
            </w:r>
            <w:r w:rsidRPr="00C67CEA">
              <w:rPr>
                <w:color w:val="auto"/>
                <w:sz w:val="18"/>
                <w:szCs w:val="18"/>
              </w:rPr>
              <w:t>.</w:t>
            </w:r>
            <w:r>
              <w:rPr>
                <w:color w:val="auto"/>
                <w:sz w:val="18"/>
                <w:szCs w:val="18"/>
              </w:rPr>
              <w:t xml:space="preserve"> </w:t>
            </w:r>
            <w:r w:rsidR="00B647D6">
              <w:rPr>
                <w:color w:val="auto"/>
                <w:sz w:val="18"/>
                <w:szCs w:val="18"/>
              </w:rPr>
              <w:t>E</w:t>
            </w:r>
            <w:r w:rsidR="00725C19">
              <w:rPr>
                <w:color w:val="auto"/>
                <w:sz w:val="18"/>
                <w:szCs w:val="18"/>
              </w:rPr>
              <w:t xml:space="preserve">rvaring en terugkerende vraagstukken </w:t>
            </w:r>
            <w:r w:rsidR="00D1065E">
              <w:rPr>
                <w:color w:val="auto"/>
                <w:sz w:val="18"/>
                <w:szCs w:val="18"/>
              </w:rPr>
              <w:t xml:space="preserve">zijn vertaald in FAQ’s en gedeeld met collega’s. </w:t>
            </w:r>
            <w:r>
              <w:rPr>
                <w:color w:val="auto"/>
                <w:sz w:val="18"/>
                <w:szCs w:val="18"/>
              </w:rPr>
              <w:t xml:space="preserve">Meer complexe </w:t>
            </w:r>
            <w:r w:rsidR="00725C19">
              <w:rPr>
                <w:color w:val="auto"/>
                <w:sz w:val="18"/>
                <w:szCs w:val="18"/>
              </w:rPr>
              <w:t xml:space="preserve">en tijdsintensieve </w:t>
            </w:r>
            <w:r>
              <w:rPr>
                <w:color w:val="auto"/>
                <w:sz w:val="18"/>
                <w:szCs w:val="18"/>
              </w:rPr>
              <w:t>vraagstukken, informatievoorziening of serviceverlening word</w:t>
            </w:r>
            <w:r w:rsidR="009F3EFD">
              <w:rPr>
                <w:color w:val="auto"/>
                <w:sz w:val="18"/>
                <w:szCs w:val="18"/>
              </w:rPr>
              <w:t>en</w:t>
            </w:r>
            <w:r>
              <w:rPr>
                <w:color w:val="auto"/>
                <w:sz w:val="18"/>
                <w:szCs w:val="18"/>
              </w:rPr>
              <w:t xml:space="preserve"> door vertaald naar de collega’s van </w:t>
            </w:r>
            <w:r w:rsidR="00725C19">
              <w:rPr>
                <w:color w:val="auto"/>
                <w:sz w:val="18"/>
                <w:szCs w:val="18"/>
              </w:rPr>
              <w:t>verenigingsadvies</w:t>
            </w:r>
            <w:r>
              <w:rPr>
                <w:color w:val="auto"/>
                <w:sz w:val="18"/>
                <w:szCs w:val="18"/>
              </w:rPr>
              <w:t xml:space="preserve">. </w:t>
            </w:r>
          </w:p>
        </w:tc>
      </w:tr>
      <w:tr w:rsidR="00BA56DD" w:rsidRPr="00EA6EFB" w:rsidTr="001603C7">
        <w:trPr>
          <w:trHeight w:val="426"/>
        </w:trPr>
        <w:tc>
          <w:tcPr>
            <w:tcW w:w="14572" w:type="dxa"/>
            <w:gridSpan w:val="2"/>
            <w:tcBorders>
              <w:top w:val="single" w:sz="4" w:space="0" w:color="auto"/>
              <w:bottom w:val="single" w:sz="4" w:space="0" w:color="auto"/>
            </w:tcBorders>
            <w:tcMar>
              <w:top w:w="57" w:type="dxa"/>
              <w:bottom w:w="57" w:type="dxa"/>
            </w:tcMar>
          </w:tcPr>
          <w:p w:rsidR="00BA56DD" w:rsidRPr="00EA6EFB" w:rsidRDefault="008A4466" w:rsidP="00A51BFC">
            <w:pPr>
              <w:spacing w:line="240" w:lineRule="auto"/>
              <w:rPr>
                <w:b/>
                <w:color w:val="F18213"/>
                <w:sz w:val="18"/>
                <w:szCs w:val="18"/>
              </w:rPr>
            </w:pPr>
            <w:r w:rsidRPr="00EA6EFB">
              <w:rPr>
                <w:b/>
                <w:color w:val="F18213"/>
                <w:sz w:val="18"/>
                <w:szCs w:val="18"/>
              </w:rPr>
              <w:t>Doel</w:t>
            </w:r>
          </w:p>
          <w:p w:rsidR="007E18CB" w:rsidRPr="00EA6EFB" w:rsidRDefault="00725C19" w:rsidP="00A51BFC">
            <w:pPr>
              <w:spacing w:line="240" w:lineRule="auto"/>
              <w:rPr>
                <w:sz w:val="18"/>
                <w:szCs w:val="18"/>
              </w:rPr>
            </w:pPr>
            <w:r>
              <w:rPr>
                <w:color w:val="000000" w:themeColor="text1"/>
                <w:sz w:val="18"/>
                <w:szCs w:val="18"/>
              </w:rPr>
              <w:t>Juiste analyse en advies dan wel overdracht en opvolging t.b.v. ledenvraagstukken en borging van juiste en adequate informatie.</w:t>
            </w:r>
          </w:p>
        </w:tc>
      </w:tr>
      <w:tr w:rsidR="00952F07" w:rsidRPr="00EA6EFB" w:rsidTr="001603C7">
        <w:trPr>
          <w:trHeight w:val="608"/>
        </w:trPr>
        <w:tc>
          <w:tcPr>
            <w:tcW w:w="14572" w:type="dxa"/>
            <w:gridSpan w:val="2"/>
            <w:tcBorders>
              <w:top w:val="single" w:sz="4" w:space="0" w:color="auto"/>
              <w:bottom w:val="single" w:sz="4" w:space="0" w:color="auto"/>
            </w:tcBorders>
            <w:tcMar>
              <w:top w:w="57" w:type="dxa"/>
              <w:bottom w:w="57" w:type="dxa"/>
            </w:tcMar>
          </w:tcPr>
          <w:p w:rsidR="00952F07" w:rsidRPr="00EA6EFB" w:rsidRDefault="00952F07" w:rsidP="00A51BFC">
            <w:pPr>
              <w:spacing w:line="240" w:lineRule="auto"/>
              <w:rPr>
                <w:b/>
                <w:color w:val="F18213"/>
                <w:sz w:val="18"/>
                <w:szCs w:val="18"/>
              </w:rPr>
            </w:pPr>
            <w:r w:rsidRPr="00EA6EFB">
              <w:rPr>
                <w:b/>
                <w:color w:val="F18213"/>
                <w:sz w:val="18"/>
                <w:szCs w:val="18"/>
              </w:rPr>
              <w:t>Rapportagestructuur</w:t>
            </w:r>
          </w:p>
          <w:p w:rsidR="00952F07" w:rsidRPr="00EA6EFB" w:rsidRDefault="00495514" w:rsidP="00A51BFC">
            <w:pPr>
              <w:tabs>
                <w:tab w:val="left" w:pos="2127"/>
              </w:tabs>
              <w:spacing w:line="240" w:lineRule="auto"/>
              <w:ind w:left="2410" w:hanging="2410"/>
              <w:rPr>
                <w:color w:val="000000" w:themeColor="text1"/>
                <w:sz w:val="18"/>
                <w:szCs w:val="18"/>
                <w:lang w:bidi="x-none"/>
              </w:rPr>
            </w:pPr>
            <w:r w:rsidRPr="00EA6EFB">
              <w:rPr>
                <w:color w:val="000000" w:themeColor="text1"/>
                <w:sz w:val="18"/>
                <w:szCs w:val="18"/>
                <w:lang w:bidi="x-none"/>
              </w:rPr>
              <w:t>Direct leidinggevende</w:t>
            </w:r>
            <w:r w:rsidR="00D47F61" w:rsidRPr="00EA6EFB">
              <w:rPr>
                <w:color w:val="000000" w:themeColor="text1"/>
                <w:sz w:val="18"/>
                <w:szCs w:val="18"/>
                <w:lang w:bidi="x-none"/>
              </w:rPr>
              <w:t>:</w:t>
            </w:r>
            <w:r w:rsidR="00D47F61" w:rsidRPr="00EA6EFB">
              <w:rPr>
                <w:color w:val="000000" w:themeColor="text1"/>
                <w:sz w:val="18"/>
                <w:szCs w:val="18"/>
                <w:lang w:bidi="x-none"/>
              </w:rPr>
              <w:tab/>
            </w:r>
            <w:r w:rsidR="00725C19">
              <w:rPr>
                <w:color w:val="000000" w:themeColor="text1"/>
                <w:sz w:val="18"/>
                <w:szCs w:val="18"/>
                <w:lang w:bidi="x-none"/>
              </w:rPr>
              <w:t>teamleider ledenservice</w:t>
            </w:r>
          </w:p>
          <w:p w:rsidR="00D47F61" w:rsidRPr="00EA6EFB" w:rsidRDefault="00D47F61" w:rsidP="00A51BFC">
            <w:pPr>
              <w:tabs>
                <w:tab w:val="left" w:pos="2127"/>
              </w:tabs>
              <w:spacing w:line="240" w:lineRule="auto"/>
              <w:ind w:left="2410" w:hanging="2410"/>
              <w:rPr>
                <w:color w:val="B80526"/>
                <w:sz w:val="18"/>
                <w:szCs w:val="18"/>
                <w:lang w:bidi="x-none"/>
              </w:rPr>
            </w:pPr>
            <w:r w:rsidRPr="00EA6EFB">
              <w:rPr>
                <w:color w:val="000000" w:themeColor="text1"/>
                <w:sz w:val="18"/>
                <w:szCs w:val="18"/>
                <w:lang w:bidi="x-none"/>
              </w:rPr>
              <w:t>Geeft leiding aan:</w:t>
            </w:r>
            <w:r w:rsidRPr="00EA6EFB">
              <w:rPr>
                <w:color w:val="000000" w:themeColor="text1"/>
                <w:sz w:val="18"/>
                <w:szCs w:val="18"/>
                <w:lang w:bidi="x-none"/>
              </w:rPr>
              <w:tab/>
            </w:r>
            <w:r w:rsidR="00725C19">
              <w:rPr>
                <w:color w:val="000000" w:themeColor="text1"/>
                <w:sz w:val="18"/>
                <w:szCs w:val="18"/>
                <w:lang w:bidi="x-none"/>
              </w:rPr>
              <w:t>niet van toepassing</w:t>
            </w:r>
          </w:p>
        </w:tc>
      </w:tr>
      <w:tr w:rsidR="00860F94" w:rsidRPr="00EA6EFB" w:rsidTr="001603C7">
        <w:trPr>
          <w:trHeight w:hRule="exact" w:val="284"/>
        </w:trPr>
        <w:tc>
          <w:tcPr>
            <w:tcW w:w="10071" w:type="dxa"/>
            <w:tcBorders>
              <w:top w:val="single" w:sz="4" w:space="0" w:color="auto"/>
              <w:bottom w:val="single" w:sz="4" w:space="0" w:color="auto"/>
            </w:tcBorders>
            <w:shd w:val="clear" w:color="auto" w:fill="D9D9D9"/>
            <w:tcMar>
              <w:top w:w="57" w:type="dxa"/>
              <w:bottom w:w="57" w:type="dxa"/>
            </w:tcMar>
          </w:tcPr>
          <w:p w:rsidR="00051C43" w:rsidRPr="001133FD" w:rsidRDefault="00051C43" w:rsidP="00A16B2F">
            <w:pPr>
              <w:spacing w:line="240" w:lineRule="auto"/>
              <w:ind w:left="113" w:hanging="113"/>
              <w:rPr>
                <w:b/>
                <w:color w:val="F18213"/>
                <w:sz w:val="18"/>
                <w:szCs w:val="18"/>
                <w:lang w:bidi="x-none"/>
              </w:rPr>
            </w:pPr>
            <w:r w:rsidRPr="001133FD">
              <w:rPr>
                <w:b/>
                <w:color w:val="F18213"/>
                <w:sz w:val="18"/>
                <w:szCs w:val="18"/>
                <w:lang w:bidi="x-none"/>
              </w:rPr>
              <w:t>Resultaat</w:t>
            </w:r>
            <w:r w:rsidR="00346AD4" w:rsidRPr="001133FD">
              <w:rPr>
                <w:b/>
                <w:color w:val="F18213"/>
                <w:sz w:val="18"/>
                <w:szCs w:val="18"/>
                <w:lang w:bidi="x-none"/>
              </w:rPr>
              <w:t>/bijdrage</w:t>
            </w:r>
          </w:p>
        </w:tc>
        <w:tc>
          <w:tcPr>
            <w:tcW w:w="4501" w:type="dxa"/>
            <w:tcBorders>
              <w:top w:val="single" w:sz="4" w:space="0" w:color="auto"/>
              <w:bottom w:val="single" w:sz="4" w:space="0" w:color="auto"/>
            </w:tcBorders>
            <w:shd w:val="clear" w:color="auto" w:fill="D9D9D9"/>
            <w:tcMar>
              <w:top w:w="57" w:type="dxa"/>
              <w:bottom w:w="57" w:type="dxa"/>
            </w:tcMar>
          </w:tcPr>
          <w:p w:rsidR="00051C43" w:rsidRPr="001133FD" w:rsidRDefault="00346AD4" w:rsidP="00A16B2F">
            <w:pPr>
              <w:spacing w:line="240" w:lineRule="auto"/>
              <w:ind w:left="113" w:hanging="113"/>
              <w:rPr>
                <w:color w:val="F18213"/>
                <w:sz w:val="18"/>
                <w:szCs w:val="18"/>
                <w:lang w:bidi="x-none"/>
              </w:rPr>
            </w:pPr>
            <w:r w:rsidRPr="001133FD">
              <w:rPr>
                <w:b/>
                <w:color w:val="F18213"/>
                <w:sz w:val="18"/>
                <w:szCs w:val="18"/>
                <w:lang w:bidi="x-none"/>
              </w:rPr>
              <w:t>Resultaatindicatoren</w:t>
            </w:r>
          </w:p>
        </w:tc>
      </w:tr>
      <w:tr w:rsidR="00346AD4" w:rsidRPr="00EA6EFB" w:rsidTr="001603C7">
        <w:tc>
          <w:tcPr>
            <w:tcW w:w="10071" w:type="dxa"/>
            <w:tcBorders>
              <w:top w:val="single" w:sz="4" w:space="0" w:color="auto"/>
              <w:bottom w:val="single" w:sz="4" w:space="0" w:color="auto"/>
            </w:tcBorders>
            <w:tcMar>
              <w:top w:w="57" w:type="dxa"/>
              <w:bottom w:w="57" w:type="dxa"/>
            </w:tcMar>
          </w:tcPr>
          <w:p w:rsidR="00051C43" w:rsidRPr="002E2402" w:rsidRDefault="00051C43" w:rsidP="009F3EFD">
            <w:pPr>
              <w:spacing w:line="240" w:lineRule="auto"/>
              <w:ind w:left="284" w:hanging="284"/>
              <w:rPr>
                <w:b/>
                <w:color w:val="auto"/>
                <w:sz w:val="18"/>
                <w:szCs w:val="18"/>
              </w:rPr>
            </w:pPr>
            <w:r w:rsidRPr="002E2402">
              <w:rPr>
                <w:b/>
                <w:color w:val="auto"/>
                <w:sz w:val="18"/>
                <w:szCs w:val="18"/>
              </w:rPr>
              <w:t>1.</w:t>
            </w:r>
            <w:r w:rsidRPr="002E2402">
              <w:rPr>
                <w:b/>
                <w:color w:val="auto"/>
                <w:sz w:val="18"/>
                <w:szCs w:val="18"/>
              </w:rPr>
              <w:tab/>
            </w:r>
            <w:r w:rsidR="00CC46CF" w:rsidRPr="002E2402">
              <w:rPr>
                <w:b/>
                <w:color w:val="auto"/>
                <w:sz w:val="18"/>
                <w:szCs w:val="18"/>
              </w:rPr>
              <w:t>Onderwerp specifieke informatieverstrekking &amp; advisering</w:t>
            </w:r>
          </w:p>
          <w:p w:rsidR="002E33B9" w:rsidRPr="002E2402" w:rsidRDefault="00325124" w:rsidP="009F3EFD">
            <w:pPr>
              <w:spacing w:line="240" w:lineRule="auto"/>
              <w:ind w:left="284" w:hanging="284"/>
              <w:rPr>
                <w:color w:val="auto"/>
                <w:sz w:val="18"/>
                <w:szCs w:val="18"/>
              </w:rPr>
            </w:pPr>
            <w:r w:rsidRPr="002E2402">
              <w:rPr>
                <w:color w:val="auto"/>
                <w:sz w:val="18"/>
                <w:szCs w:val="18"/>
              </w:rPr>
              <w:tab/>
            </w:r>
            <w:r w:rsidR="00B530CB" w:rsidRPr="002E2402">
              <w:rPr>
                <w:color w:val="auto"/>
                <w:sz w:val="18"/>
                <w:szCs w:val="18"/>
              </w:rPr>
              <w:t xml:space="preserve">De door de leden geformuleerde vraagstukken zijn geanalyseerd en </w:t>
            </w:r>
            <w:r w:rsidR="00F71B0F" w:rsidRPr="002E2402">
              <w:rPr>
                <w:color w:val="auto"/>
                <w:sz w:val="18"/>
                <w:szCs w:val="18"/>
              </w:rPr>
              <w:t>geïnterpreteerd</w:t>
            </w:r>
            <w:r w:rsidR="00B530CB" w:rsidRPr="002E2402">
              <w:rPr>
                <w:color w:val="auto"/>
                <w:sz w:val="18"/>
                <w:szCs w:val="18"/>
              </w:rPr>
              <w:t xml:space="preserve">, leidend tot </w:t>
            </w:r>
            <w:r w:rsidR="00F71B0F" w:rsidRPr="002E2402">
              <w:rPr>
                <w:color w:val="auto"/>
                <w:sz w:val="18"/>
                <w:szCs w:val="18"/>
              </w:rPr>
              <w:t>de meest aantrekkelijke oplossingsrichtingen, alternatieven</w:t>
            </w:r>
            <w:r w:rsidR="003903E9">
              <w:rPr>
                <w:color w:val="auto"/>
                <w:sz w:val="18"/>
                <w:szCs w:val="18"/>
              </w:rPr>
              <w:t>, match</w:t>
            </w:r>
            <w:r w:rsidR="003A231F" w:rsidRPr="002E2402">
              <w:rPr>
                <w:color w:val="auto"/>
                <w:sz w:val="18"/>
                <w:szCs w:val="18"/>
              </w:rPr>
              <w:t xml:space="preserve"> </w:t>
            </w:r>
            <w:r w:rsidR="00F71B0F" w:rsidRPr="002E2402">
              <w:rPr>
                <w:color w:val="auto"/>
                <w:sz w:val="18"/>
                <w:szCs w:val="18"/>
              </w:rPr>
              <w:t xml:space="preserve">of doorverwijzing naar de geëigende instantie of collega-adviseur. </w:t>
            </w:r>
          </w:p>
        </w:tc>
        <w:tc>
          <w:tcPr>
            <w:tcW w:w="4501" w:type="dxa"/>
            <w:tcBorders>
              <w:top w:val="single" w:sz="4" w:space="0" w:color="auto"/>
              <w:bottom w:val="single" w:sz="4" w:space="0" w:color="auto"/>
            </w:tcBorders>
            <w:tcMar>
              <w:top w:w="57" w:type="dxa"/>
              <w:bottom w:w="57" w:type="dxa"/>
            </w:tcMar>
          </w:tcPr>
          <w:p w:rsidR="00F71B0F" w:rsidRPr="002E2402" w:rsidRDefault="00F71B0F" w:rsidP="009F3EFD">
            <w:pPr>
              <w:spacing w:line="240" w:lineRule="auto"/>
              <w:ind w:left="284" w:hanging="284"/>
              <w:rPr>
                <w:sz w:val="18"/>
                <w:szCs w:val="18"/>
                <w:lang w:bidi="x-none"/>
              </w:rPr>
            </w:pPr>
            <w:r w:rsidRPr="002E2402">
              <w:rPr>
                <w:sz w:val="18"/>
                <w:szCs w:val="18"/>
                <w:lang w:bidi="x-none"/>
              </w:rPr>
              <w:t>-</w:t>
            </w:r>
            <w:r w:rsidRPr="002E2402">
              <w:rPr>
                <w:sz w:val="18"/>
                <w:szCs w:val="18"/>
                <w:lang w:bidi="x-none"/>
              </w:rPr>
              <w:tab/>
              <w:t>adequaatheid van het antwoord (komt tege</w:t>
            </w:r>
            <w:r w:rsidRPr="002E2402">
              <w:rPr>
                <w:sz w:val="18"/>
                <w:szCs w:val="18"/>
                <w:lang w:bidi="x-none"/>
              </w:rPr>
              <w:softHyphen/>
              <w:t>moet aan de vraag/informatiebehoefte);</w:t>
            </w:r>
          </w:p>
          <w:p w:rsidR="00F71B0F" w:rsidRPr="002E2402" w:rsidRDefault="00F71B0F" w:rsidP="009F3EFD">
            <w:pPr>
              <w:spacing w:line="240" w:lineRule="auto"/>
              <w:ind w:left="284" w:hanging="284"/>
              <w:rPr>
                <w:sz w:val="18"/>
                <w:szCs w:val="18"/>
                <w:lang w:bidi="x-none"/>
              </w:rPr>
            </w:pPr>
            <w:r w:rsidRPr="002E2402">
              <w:rPr>
                <w:sz w:val="18"/>
                <w:szCs w:val="18"/>
                <w:lang w:bidi="x-none"/>
              </w:rPr>
              <w:t>-</w:t>
            </w:r>
            <w:r w:rsidRPr="002E2402">
              <w:rPr>
                <w:sz w:val="18"/>
                <w:szCs w:val="18"/>
                <w:lang w:bidi="x-none"/>
              </w:rPr>
              <w:tab/>
              <w:t>klanttevredenheid;</w:t>
            </w:r>
          </w:p>
          <w:p w:rsidR="00051C43" w:rsidRPr="002E2402" w:rsidRDefault="00F71B0F" w:rsidP="009F3EFD">
            <w:pPr>
              <w:spacing w:line="240" w:lineRule="auto"/>
              <w:ind w:left="284" w:hanging="284"/>
              <w:rPr>
                <w:color w:val="auto"/>
                <w:sz w:val="18"/>
                <w:szCs w:val="18"/>
              </w:rPr>
            </w:pPr>
            <w:r w:rsidRPr="002E2402">
              <w:rPr>
                <w:sz w:val="18"/>
                <w:szCs w:val="18"/>
                <w:lang w:bidi="x-none"/>
              </w:rPr>
              <w:t>-</w:t>
            </w:r>
            <w:r w:rsidRPr="002E2402">
              <w:rPr>
                <w:sz w:val="18"/>
                <w:szCs w:val="18"/>
                <w:lang w:bidi="x-none"/>
              </w:rPr>
              <w:tab/>
              <w:t>mate van doorverwijzing/opschaling.</w:t>
            </w:r>
          </w:p>
        </w:tc>
      </w:tr>
      <w:tr w:rsidR="003A231F" w:rsidRPr="00EA6EFB" w:rsidTr="001603C7">
        <w:trPr>
          <w:trHeight w:val="500"/>
        </w:trPr>
        <w:tc>
          <w:tcPr>
            <w:tcW w:w="10071" w:type="dxa"/>
            <w:tcBorders>
              <w:top w:val="single" w:sz="4" w:space="0" w:color="auto"/>
              <w:bottom w:val="single" w:sz="4" w:space="0" w:color="auto"/>
            </w:tcBorders>
            <w:tcMar>
              <w:top w:w="57" w:type="dxa"/>
              <w:bottom w:w="57" w:type="dxa"/>
            </w:tcMar>
          </w:tcPr>
          <w:p w:rsidR="003A231F" w:rsidRPr="002E2402" w:rsidRDefault="003A231F" w:rsidP="009F3EFD">
            <w:pPr>
              <w:spacing w:line="240" w:lineRule="auto"/>
              <w:ind w:left="284" w:hanging="284"/>
              <w:rPr>
                <w:b/>
                <w:color w:val="auto"/>
                <w:sz w:val="18"/>
                <w:szCs w:val="18"/>
              </w:rPr>
            </w:pPr>
            <w:r w:rsidRPr="002E2402">
              <w:rPr>
                <w:b/>
                <w:color w:val="auto"/>
                <w:sz w:val="18"/>
                <w:szCs w:val="18"/>
              </w:rPr>
              <w:t>2.</w:t>
            </w:r>
            <w:r w:rsidRPr="002E2402">
              <w:rPr>
                <w:b/>
                <w:color w:val="auto"/>
                <w:sz w:val="18"/>
                <w:szCs w:val="18"/>
              </w:rPr>
              <w:tab/>
            </w:r>
            <w:r w:rsidR="00F71B0F" w:rsidRPr="002E2402">
              <w:rPr>
                <w:b/>
                <w:color w:val="auto"/>
                <w:sz w:val="18"/>
                <w:szCs w:val="18"/>
              </w:rPr>
              <w:t>Overdracht en opvolging</w:t>
            </w:r>
          </w:p>
          <w:p w:rsidR="003A231F" w:rsidRPr="002E2402" w:rsidRDefault="003A231F" w:rsidP="009F3EFD">
            <w:pPr>
              <w:spacing w:line="240" w:lineRule="auto"/>
              <w:ind w:left="284" w:hanging="284"/>
              <w:rPr>
                <w:color w:val="auto"/>
                <w:sz w:val="18"/>
                <w:szCs w:val="18"/>
              </w:rPr>
            </w:pPr>
            <w:r w:rsidRPr="002E2402">
              <w:rPr>
                <w:color w:val="auto"/>
                <w:sz w:val="18"/>
                <w:szCs w:val="18"/>
              </w:rPr>
              <w:tab/>
            </w:r>
            <w:r w:rsidR="00F71B0F" w:rsidRPr="002E2402">
              <w:rPr>
                <w:color w:val="auto"/>
                <w:sz w:val="18"/>
                <w:szCs w:val="18"/>
              </w:rPr>
              <w:t xml:space="preserve">Specialistische en/of tijdsintensieve ledenvraagstukken zijn geïnventariseerd qua relevante informatie, toegelicht aan </w:t>
            </w:r>
            <w:r w:rsidR="009F3EFD">
              <w:rPr>
                <w:color w:val="auto"/>
                <w:sz w:val="18"/>
                <w:szCs w:val="18"/>
              </w:rPr>
              <w:t>tweede</w:t>
            </w:r>
            <w:r w:rsidR="00F71B0F" w:rsidRPr="002E2402">
              <w:rPr>
                <w:color w:val="auto"/>
                <w:sz w:val="18"/>
                <w:szCs w:val="18"/>
              </w:rPr>
              <w:t>lijns afhandelaar en gemonitord qua adequate afhandeling.</w:t>
            </w:r>
          </w:p>
        </w:tc>
        <w:tc>
          <w:tcPr>
            <w:tcW w:w="4501" w:type="dxa"/>
            <w:tcBorders>
              <w:top w:val="single" w:sz="4" w:space="0" w:color="auto"/>
              <w:bottom w:val="single" w:sz="4" w:space="0" w:color="auto"/>
            </w:tcBorders>
            <w:tcMar>
              <w:top w:w="57" w:type="dxa"/>
              <w:bottom w:w="57" w:type="dxa"/>
            </w:tcMar>
          </w:tcPr>
          <w:p w:rsidR="00F71B0F" w:rsidRPr="002E2402" w:rsidRDefault="00F71B0F" w:rsidP="009F3EFD">
            <w:pPr>
              <w:spacing w:line="240" w:lineRule="auto"/>
              <w:ind w:left="284" w:hanging="284"/>
              <w:rPr>
                <w:sz w:val="18"/>
                <w:szCs w:val="18"/>
                <w:lang w:bidi="x-none"/>
              </w:rPr>
            </w:pPr>
            <w:r w:rsidRPr="002E2402">
              <w:rPr>
                <w:sz w:val="18"/>
                <w:szCs w:val="18"/>
                <w:lang w:bidi="x-none"/>
              </w:rPr>
              <w:t>-</w:t>
            </w:r>
            <w:r w:rsidRPr="002E2402">
              <w:rPr>
                <w:sz w:val="18"/>
                <w:szCs w:val="18"/>
                <w:lang w:bidi="x-none"/>
              </w:rPr>
              <w:tab/>
              <w:t>volledigheid specificatie van vraag/probleem;</w:t>
            </w:r>
          </w:p>
          <w:p w:rsidR="00F71B0F" w:rsidRPr="002E2402" w:rsidRDefault="00F71B0F" w:rsidP="009F3EFD">
            <w:pPr>
              <w:spacing w:line="240" w:lineRule="auto"/>
              <w:ind w:left="284" w:hanging="284"/>
              <w:rPr>
                <w:sz w:val="18"/>
                <w:szCs w:val="18"/>
                <w:lang w:bidi="x-none"/>
              </w:rPr>
            </w:pPr>
            <w:r w:rsidRPr="002E2402">
              <w:rPr>
                <w:sz w:val="18"/>
                <w:szCs w:val="18"/>
                <w:lang w:bidi="x-none"/>
              </w:rPr>
              <w:t>-</w:t>
            </w:r>
            <w:r w:rsidRPr="002E2402">
              <w:rPr>
                <w:sz w:val="18"/>
                <w:szCs w:val="18"/>
                <w:lang w:bidi="x-none"/>
              </w:rPr>
              <w:tab/>
              <w:t>tijdigheid van ingrijpen;</w:t>
            </w:r>
          </w:p>
          <w:p w:rsidR="003A231F" w:rsidRPr="002E2402" w:rsidRDefault="00F71B0F" w:rsidP="009F3EFD">
            <w:pPr>
              <w:spacing w:line="240" w:lineRule="auto"/>
              <w:ind w:left="284" w:hanging="284"/>
              <w:rPr>
                <w:color w:val="auto"/>
                <w:sz w:val="18"/>
                <w:szCs w:val="18"/>
              </w:rPr>
            </w:pPr>
            <w:r w:rsidRPr="002E2402">
              <w:rPr>
                <w:sz w:val="18"/>
                <w:szCs w:val="18"/>
                <w:lang w:bidi="x-none"/>
              </w:rPr>
              <w:t>-</w:t>
            </w:r>
            <w:r w:rsidRPr="002E2402">
              <w:rPr>
                <w:sz w:val="18"/>
                <w:szCs w:val="18"/>
                <w:lang w:bidi="x-none"/>
              </w:rPr>
              <w:tab/>
              <w:t>geïnformeerdheid van de klant.</w:t>
            </w:r>
          </w:p>
        </w:tc>
      </w:tr>
      <w:tr w:rsidR="003A231F" w:rsidRPr="00EA6EFB" w:rsidTr="001603C7">
        <w:trPr>
          <w:trHeight w:val="575"/>
        </w:trPr>
        <w:tc>
          <w:tcPr>
            <w:tcW w:w="10071" w:type="dxa"/>
            <w:tcBorders>
              <w:top w:val="single" w:sz="4" w:space="0" w:color="auto"/>
              <w:bottom w:val="single" w:sz="4" w:space="0" w:color="auto"/>
            </w:tcBorders>
            <w:tcMar>
              <w:top w:w="57" w:type="dxa"/>
              <w:bottom w:w="57" w:type="dxa"/>
            </w:tcMar>
          </w:tcPr>
          <w:p w:rsidR="003A231F" w:rsidRPr="002E2402" w:rsidRDefault="00E2444C" w:rsidP="009F3EFD">
            <w:pPr>
              <w:spacing w:line="240" w:lineRule="auto"/>
              <w:ind w:left="284" w:hanging="284"/>
              <w:rPr>
                <w:b/>
                <w:color w:val="auto"/>
                <w:sz w:val="18"/>
                <w:szCs w:val="18"/>
              </w:rPr>
            </w:pPr>
            <w:r>
              <w:rPr>
                <w:b/>
                <w:color w:val="auto"/>
                <w:sz w:val="18"/>
                <w:szCs w:val="18"/>
              </w:rPr>
              <w:t>3</w:t>
            </w:r>
            <w:r w:rsidR="003A231F" w:rsidRPr="002E2402">
              <w:rPr>
                <w:b/>
                <w:color w:val="auto"/>
                <w:sz w:val="18"/>
                <w:szCs w:val="18"/>
              </w:rPr>
              <w:t>.</w:t>
            </w:r>
            <w:r w:rsidR="003A231F" w:rsidRPr="002E2402">
              <w:rPr>
                <w:b/>
                <w:color w:val="auto"/>
                <w:sz w:val="18"/>
                <w:szCs w:val="18"/>
              </w:rPr>
              <w:tab/>
            </w:r>
            <w:r w:rsidR="00F71B0F" w:rsidRPr="002E2402">
              <w:rPr>
                <w:b/>
                <w:color w:val="auto"/>
                <w:sz w:val="18"/>
                <w:szCs w:val="18"/>
              </w:rPr>
              <w:t>Registratie en rapportage vragen</w:t>
            </w:r>
          </w:p>
          <w:p w:rsidR="003A231F" w:rsidRPr="002E2402" w:rsidRDefault="003A231F" w:rsidP="009F3EFD">
            <w:pPr>
              <w:spacing w:line="240" w:lineRule="auto"/>
              <w:ind w:left="284" w:hanging="284"/>
              <w:rPr>
                <w:color w:val="auto"/>
                <w:sz w:val="18"/>
                <w:szCs w:val="18"/>
              </w:rPr>
            </w:pPr>
            <w:r w:rsidRPr="002E2402">
              <w:rPr>
                <w:color w:val="auto"/>
                <w:sz w:val="18"/>
                <w:szCs w:val="18"/>
              </w:rPr>
              <w:tab/>
            </w:r>
            <w:r w:rsidR="00207C7C" w:rsidRPr="002E2402">
              <w:rPr>
                <w:color w:val="auto"/>
                <w:sz w:val="18"/>
                <w:szCs w:val="18"/>
              </w:rPr>
              <w:t>Vraagstellingen, vraagsteller en informatie/advies zijn gekoppeld en gedocumenteerd in de betreffende systemen</w:t>
            </w:r>
            <w:r w:rsidR="002E2402" w:rsidRPr="002E2402">
              <w:rPr>
                <w:color w:val="auto"/>
                <w:sz w:val="18"/>
                <w:szCs w:val="18"/>
              </w:rPr>
              <w:t xml:space="preserve"> en toegankelijk voor collega’s.</w:t>
            </w:r>
          </w:p>
        </w:tc>
        <w:tc>
          <w:tcPr>
            <w:tcW w:w="4501" w:type="dxa"/>
            <w:tcBorders>
              <w:top w:val="single" w:sz="4" w:space="0" w:color="auto"/>
              <w:bottom w:val="single" w:sz="4" w:space="0" w:color="auto"/>
            </w:tcBorders>
            <w:tcMar>
              <w:top w:w="57" w:type="dxa"/>
              <w:bottom w:w="57" w:type="dxa"/>
            </w:tcMar>
          </w:tcPr>
          <w:p w:rsidR="00F71B0F" w:rsidRPr="002E2402" w:rsidRDefault="00F71B0F" w:rsidP="009F3EFD">
            <w:pPr>
              <w:pageBreakBefore/>
              <w:spacing w:line="240" w:lineRule="auto"/>
              <w:ind w:left="284" w:hanging="284"/>
              <w:rPr>
                <w:sz w:val="18"/>
                <w:szCs w:val="18"/>
                <w:lang w:bidi="x-none"/>
              </w:rPr>
            </w:pPr>
            <w:r w:rsidRPr="002E2402">
              <w:rPr>
                <w:sz w:val="18"/>
                <w:szCs w:val="18"/>
                <w:lang w:bidi="x-none"/>
              </w:rPr>
              <w:t>-</w:t>
            </w:r>
            <w:r w:rsidRPr="002E2402">
              <w:rPr>
                <w:sz w:val="18"/>
                <w:szCs w:val="18"/>
                <w:lang w:bidi="x-none"/>
              </w:rPr>
              <w:tab/>
              <w:t>snelheid (direct na call) en waarde informatie;</w:t>
            </w:r>
          </w:p>
          <w:p w:rsidR="003A231F" w:rsidRPr="002E2402" w:rsidRDefault="00F71B0F" w:rsidP="009F3EFD">
            <w:pPr>
              <w:spacing w:line="240" w:lineRule="auto"/>
              <w:ind w:left="284" w:hanging="284"/>
              <w:rPr>
                <w:color w:val="auto"/>
                <w:sz w:val="18"/>
                <w:szCs w:val="18"/>
              </w:rPr>
            </w:pPr>
            <w:r w:rsidRPr="002E2402">
              <w:rPr>
                <w:sz w:val="18"/>
                <w:szCs w:val="18"/>
                <w:lang w:bidi="x-none"/>
              </w:rPr>
              <w:t>-</w:t>
            </w:r>
            <w:r w:rsidRPr="002E2402">
              <w:rPr>
                <w:sz w:val="18"/>
                <w:szCs w:val="18"/>
                <w:lang w:bidi="x-none"/>
              </w:rPr>
              <w:tab/>
              <w:t>volledigheid/toegankelijkheid informatie voor leden en collega’s.</w:t>
            </w:r>
          </w:p>
        </w:tc>
      </w:tr>
      <w:tr w:rsidR="003A231F" w:rsidRPr="00EA6EFB" w:rsidTr="001603C7">
        <w:trPr>
          <w:trHeight w:val="301"/>
        </w:trPr>
        <w:tc>
          <w:tcPr>
            <w:tcW w:w="14572" w:type="dxa"/>
            <w:gridSpan w:val="2"/>
            <w:tcBorders>
              <w:top w:val="single" w:sz="4" w:space="0" w:color="auto"/>
              <w:bottom w:val="single" w:sz="4" w:space="0" w:color="auto"/>
            </w:tcBorders>
            <w:tcMar>
              <w:top w:w="57" w:type="dxa"/>
              <w:bottom w:w="57" w:type="dxa"/>
            </w:tcMar>
          </w:tcPr>
          <w:p w:rsidR="003A231F" w:rsidRPr="00EA6EFB" w:rsidRDefault="003A231F" w:rsidP="003A231F">
            <w:pPr>
              <w:spacing w:line="240" w:lineRule="auto"/>
              <w:ind w:left="284" w:hanging="284"/>
              <w:rPr>
                <w:color w:val="F18213"/>
                <w:sz w:val="18"/>
                <w:szCs w:val="18"/>
              </w:rPr>
            </w:pPr>
            <w:r w:rsidRPr="00EA6EFB">
              <w:rPr>
                <w:b/>
                <w:color w:val="F18213"/>
                <w:sz w:val="18"/>
                <w:szCs w:val="18"/>
              </w:rPr>
              <w:t>Bezwarende werkomstandigheden</w:t>
            </w:r>
          </w:p>
          <w:p w:rsidR="003A231F" w:rsidRPr="00EA6EFB" w:rsidRDefault="003A231F" w:rsidP="003A231F">
            <w:pPr>
              <w:spacing w:line="240" w:lineRule="auto"/>
              <w:ind w:left="284" w:hanging="284"/>
              <w:rPr>
                <w:color w:val="auto"/>
                <w:sz w:val="18"/>
                <w:szCs w:val="18"/>
              </w:rPr>
            </w:pPr>
            <w:r w:rsidRPr="00EA6EFB">
              <w:rPr>
                <w:color w:val="auto"/>
                <w:sz w:val="18"/>
                <w:szCs w:val="18"/>
              </w:rPr>
              <w:t>-</w:t>
            </w:r>
            <w:r w:rsidRPr="00EA6EFB">
              <w:rPr>
                <w:color w:val="auto"/>
                <w:sz w:val="18"/>
                <w:szCs w:val="18"/>
              </w:rPr>
              <w:tab/>
            </w:r>
            <w:r w:rsidR="00D1065E">
              <w:rPr>
                <w:color w:val="auto"/>
                <w:sz w:val="18"/>
                <w:szCs w:val="18"/>
              </w:rPr>
              <w:t>Geen bijzondere.</w:t>
            </w:r>
          </w:p>
        </w:tc>
      </w:tr>
    </w:tbl>
    <w:p w:rsidR="00CA42AF" w:rsidRPr="00EA6EFB" w:rsidRDefault="00EA6EFB" w:rsidP="00EA6EFB">
      <w:pPr>
        <w:tabs>
          <w:tab w:val="right" w:pos="14570"/>
        </w:tabs>
        <w:spacing w:line="240" w:lineRule="auto"/>
        <w:rPr>
          <w:color w:val="auto"/>
          <w:sz w:val="14"/>
          <w:szCs w:val="14"/>
        </w:rPr>
      </w:pPr>
      <w:bookmarkStart w:id="0" w:name="_GoBack"/>
      <w:bookmarkEnd w:id="0"/>
      <w:r>
        <w:rPr>
          <w:i/>
          <w:color w:val="auto"/>
          <w:sz w:val="16"/>
        </w:rPr>
        <w:tab/>
      </w:r>
    </w:p>
    <w:sectPr w:rsidR="00CA42AF" w:rsidRPr="00EA6EFB" w:rsidSect="009D0165">
      <w:headerReference w:type="even" r:id="rId7"/>
      <w:headerReference w:type="default" r:id="rId8"/>
      <w:footerReference w:type="even" r:id="rId9"/>
      <w:footerReference w:type="default" r:id="rId10"/>
      <w:headerReference w:type="first" r:id="rId11"/>
      <w:footerReference w:type="first" r:id="rId12"/>
      <w:pgSz w:w="16838" w:h="11899" w:orient="landscape"/>
      <w:pgMar w:top="1134" w:right="1134" w:bottom="1134" w:left="1134" w:header="113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294" w:rsidRDefault="00184294" w:rsidP="001073D2">
      <w:pPr>
        <w:spacing w:line="240" w:lineRule="auto"/>
      </w:pPr>
      <w:r>
        <w:separator/>
      </w:r>
    </w:p>
  </w:endnote>
  <w:endnote w:type="continuationSeparator" w:id="0">
    <w:p w:rsidR="00184294" w:rsidRDefault="00184294"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B0604020202020204"/>
    <w:charset w:val="00"/>
    <w:family w:val="auto"/>
    <w:pitch w:val="variable"/>
    <w:sig w:usb0="00000003" w:usb1="00000000" w:usb2="00000000" w:usb3="00000000" w:csb0="00000007"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FF" w:rsidRDefault="00314E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75D" w:rsidRPr="00FF5B7D" w:rsidRDefault="000C1D4D" w:rsidP="000C1D4D">
    <w:pPr>
      <w:pStyle w:val="Voettekst"/>
      <w:tabs>
        <w:tab w:val="clear" w:pos="4153"/>
        <w:tab w:val="clear" w:pos="8306"/>
        <w:tab w:val="right" w:pos="15026"/>
      </w:tabs>
      <w:spacing w:line="240" w:lineRule="atLeast"/>
      <w:ind w:right="-518"/>
      <w:jc w:val="left"/>
      <w:rPr>
        <w:b/>
        <w:color w:val="auto"/>
        <w:sz w:val="16"/>
      </w:rPr>
    </w:pPr>
    <w:r>
      <w:rPr>
        <w:color w:val="auto"/>
        <w:sz w:val="16"/>
      </w:rPr>
      <w:t>Opgesteld door EVZ organisatie-advies</w:t>
    </w:r>
    <w:r w:rsidR="00182624">
      <w:rPr>
        <w:color w:val="auto"/>
        <w:sz w:val="16"/>
      </w:rPr>
      <w:t xml:space="preserve"> </w:t>
    </w:r>
    <w:r w:rsidR="00CE1D21">
      <w:rPr>
        <w:color w:val="auto"/>
        <w:sz w:val="16"/>
      </w:rPr>
      <w:t xml:space="preserve">| </w:t>
    </w:r>
    <w:r w:rsidR="00A70E01">
      <w:rPr>
        <w:color w:val="auto"/>
        <w:sz w:val="16"/>
      </w:rPr>
      <w:t>1510</w:t>
    </w:r>
    <w:r w:rsidR="00182624">
      <w:rPr>
        <w:color w:val="auto"/>
        <w:sz w:val="16"/>
      </w:rPr>
      <w:t>18</w:t>
    </w:r>
    <w:r w:rsidR="00CA42AF">
      <w:rPr>
        <w:noProof/>
        <w:color w:val="auto"/>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FF" w:rsidRDefault="00314E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294" w:rsidRDefault="00184294" w:rsidP="001073D2">
      <w:pPr>
        <w:spacing w:line="240" w:lineRule="auto"/>
      </w:pPr>
      <w:r>
        <w:separator/>
      </w:r>
    </w:p>
  </w:footnote>
  <w:footnote w:type="continuationSeparator" w:id="0">
    <w:p w:rsidR="00184294" w:rsidRDefault="00184294" w:rsidP="00107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FF" w:rsidRDefault="00314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F94" w:rsidRPr="001C6E47" w:rsidRDefault="009D0165" w:rsidP="00EA3029">
    <w:pPr>
      <w:pStyle w:val="Koptekst"/>
      <w:tabs>
        <w:tab w:val="clear" w:pos="4153"/>
        <w:tab w:val="clear" w:pos="8306"/>
        <w:tab w:val="left" w:pos="851"/>
        <w:tab w:val="center" w:pos="5245"/>
        <w:tab w:val="right" w:pos="9639"/>
      </w:tabs>
      <w:ind w:left="1134" w:right="-292" w:hanging="1134"/>
      <w:jc w:val="left"/>
      <w:rPr>
        <w:color w:val="auto"/>
        <w:sz w:val="16"/>
        <w:szCs w:val="16"/>
        <w:lang w:eastAsia="nl-NL"/>
      </w:rPr>
    </w:pPr>
    <w:r>
      <w:rPr>
        <w:noProof/>
        <w:lang w:eastAsia="nl-NL"/>
      </w:rPr>
      <w:t>FUNCTIE-OMSCHRIJVING</w:t>
    </w:r>
    <w:r w:rsidR="00EA3029">
      <w:rPr>
        <w:noProof/>
        <w:lang w:eastAsia="nl-NL"/>
      </w:rPr>
      <w:tab/>
    </w:r>
    <w:r w:rsidR="00EA3029">
      <w:rPr>
        <w:noProof/>
        <w:lang w:eastAsia="nl-N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FF" w:rsidRDefault="00314EF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22A74"/>
    <w:multiLevelType w:val="hybridMultilevel"/>
    <w:tmpl w:val="16C867C6"/>
    <w:lvl w:ilvl="0" w:tplc="6B2EEC9A">
      <w:numFmt w:val="bullet"/>
      <w:lvlText w:val="-"/>
      <w:lvlJc w:val="left"/>
      <w:pPr>
        <w:tabs>
          <w:tab w:val="num" w:pos="340"/>
        </w:tabs>
        <w:ind w:left="340" w:hanging="340"/>
      </w:pPr>
      <w:rPr>
        <w:rFonts w:ascii="Arial" w:eastAsia="Times New Roman" w:hAnsi="Arial" w:hint="default"/>
        <w:w w:val="0"/>
      </w:rPr>
    </w:lvl>
    <w:lvl w:ilvl="1" w:tplc="900CE584">
      <w:numFmt w:val="bullet"/>
      <w:lvlText w:val=""/>
      <w:lvlJc w:val="left"/>
      <w:pPr>
        <w:tabs>
          <w:tab w:val="num" w:pos="1420"/>
        </w:tabs>
        <w:ind w:left="1420" w:hanging="340"/>
      </w:pPr>
      <w:rPr>
        <w:rFonts w:ascii="Symbol" w:eastAsia="Times New Roman" w:hAnsi="Symbol" w:hint="default"/>
        <w:color w:val="auto"/>
        <w:w w:val="0"/>
      </w:rPr>
    </w:lvl>
    <w:lvl w:ilvl="2" w:tplc="4070EEF8">
      <w:start w:val="10"/>
      <w:numFmt w:val="bullet"/>
      <w:lvlText w:val="-"/>
      <w:lvlJc w:val="left"/>
      <w:pPr>
        <w:tabs>
          <w:tab w:val="num" w:pos="2160"/>
        </w:tabs>
        <w:ind w:left="2160" w:hanging="360"/>
      </w:pPr>
      <w:rPr>
        <w:rFonts w:ascii="Times New Roman" w:eastAsia="Times New Roman" w:hAnsi="Times New Roman" w:hint="default"/>
      </w:rPr>
    </w:lvl>
    <w:lvl w:ilvl="3" w:tplc="00010409">
      <w:start w:val="1"/>
      <w:numFmt w:val="bullet"/>
      <w:lvlText w:val=""/>
      <w:lvlJc w:val="left"/>
      <w:pPr>
        <w:tabs>
          <w:tab w:val="num" w:pos="2880"/>
        </w:tabs>
        <w:ind w:left="2880" w:hanging="360"/>
      </w:pPr>
      <w:rPr>
        <w:rFonts w:ascii="Symbol" w:hAnsi="Symbol" w:hint="default"/>
        <w:w w:val="0"/>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5820E9"/>
    <w:multiLevelType w:val="hybridMultilevel"/>
    <w:tmpl w:val="43CEAB5E"/>
    <w:lvl w:ilvl="0" w:tplc="3EE84854">
      <w:start w:val="10"/>
      <w:numFmt w:val="bullet"/>
      <w:lvlText w:val="-"/>
      <w:lvlJc w:val="left"/>
      <w:pPr>
        <w:tabs>
          <w:tab w:val="num" w:pos="284"/>
        </w:tabs>
        <w:ind w:left="170" w:hanging="170"/>
      </w:pPr>
      <w:rPr>
        <w:rFonts w:ascii="Times New Roman" w:eastAsia="Times New Roman" w:hAnsi="Times New Roman" w:hint="default"/>
        <w:w w:val="0"/>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F01DDD"/>
    <w:multiLevelType w:val="hybridMultilevel"/>
    <w:tmpl w:val="DCA09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051132C"/>
    <w:multiLevelType w:val="hybridMultilevel"/>
    <w:tmpl w:val="D3EA6504"/>
    <w:lvl w:ilvl="0" w:tplc="A866F3A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B49BD"/>
    <w:multiLevelType w:val="hybridMultilevel"/>
    <w:tmpl w:val="1C6CC7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8F67865"/>
    <w:multiLevelType w:val="hybridMultilevel"/>
    <w:tmpl w:val="1BFE32B8"/>
    <w:lvl w:ilvl="0" w:tplc="5AF6E2EC">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18E"/>
    <w:rsid w:val="00013FFA"/>
    <w:rsid w:val="00022563"/>
    <w:rsid w:val="00040B6A"/>
    <w:rsid w:val="00051C43"/>
    <w:rsid w:val="00053F25"/>
    <w:rsid w:val="0006753D"/>
    <w:rsid w:val="00075FF0"/>
    <w:rsid w:val="0008707B"/>
    <w:rsid w:val="00094E6B"/>
    <w:rsid w:val="000A4E2C"/>
    <w:rsid w:val="000C1D4D"/>
    <w:rsid w:val="001006CD"/>
    <w:rsid w:val="00104B2A"/>
    <w:rsid w:val="00107BB5"/>
    <w:rsid w:val="001133FD"/>
    <w:rsid w:val="00121D7A"/>
    <w:rsid w:val="00132C5B"/>
    <w:rsid w:val="00140BCD"/>
    <w:rsid w:val="00146FF6"/>
    <w:rsid w:val="001603C7"/>
    <w:rsid w:val="00161FEA"/>
    <w:rsid w:val="00182624"/>
    <w:rsid w:val="00184294"/>
    <w:rsid w:val="0019223A"/>
    <w:rsid w:val="001D08A5"/>
    <w:rsid w:val="001D2817"/>
    <w:rsid w:val="001D5401"/>
    <w:rsid w:val="001F08A7"/>
    <w:rsid w:val="00207C7C"/>
    <w:rsid w:val="00262F78"/>
    <w:rsid w:val="0026618E"/>
    <w:rsid w:val="00270359"/>
    <w:rsid w:val="00276091"/>
    <w:rsid w:val="0028588A"/>
    <w:rsid w:val="00290ACF"/>
    <w:rsid w:val="002A1ADB"/>
    <w:rsid w:val="002A6A1A"/>
    <w:rsid w:val="002C683A"/>
    <w:rsid w:val="002D200C"/>
    <w:rsid w:val="002E2402"/>
    <w:rsid w:val="002E33B9"/>
    <w:rsid w:val="002E7FFB"/>
    <w:rsid w:val="00302BD4"/>
    <w:rsid w:val="00310C75"/>
    <w:rsid w:val="00314EFF"/>
    <w:rsid w:val="00325124"/>
    <w:rsid w:val="0033575D"/>
    <w:rsid w:val="003421EC"/>
    <w:rsid w:val="00346AD4"/>
    <w:rsid w:val="00362B10"/>
    <w:rsid w:val="003748C1"/>
    <w:rsid w:val="00384ED9"/>
    <w:rsid w:val="003865F8"/>
    <w:rsid w:val="003903E9"/>
    <w:rsid w:val="003A231F"/>
    <w:rsid w:val="003A2926"/>
    <w:rsid w:val="003A6A37"/>
    <w:rsid w:val="003B16B5"/>
    <w:rsid w:val="003D0430"/>
    <w:rsid w:val="003D7528"/>
    <w:rsid w:val="003E125D"/>
    <w:rsid w:val="003F2780"/>
    <w:rsid w:val="003F6334"/>
    <w:rsid w:val="004019B8"/>
    <w:rsid w:val="00402C31"/>
    <w:rsid w:val="004046FC"/>
    <w:rsid w:val="00411199"/>
    <w:rsid w:val="00412AF7"/>
    <w:rsid w:val="00416CAB"/>
    <w:rsid w:val="00433421"/>
    <w:rsid w:val="004336DD"/>
    <w:rsid w:val="0043413A"/>
    <w:rsid w:val="00446423"/>
    <w:rsid w:val="00447F40"/>
    <w:rsid w:val="004555B8"/>
    <w:rsid w:val="00466101"/>
    <w:rsid w:val="004701E5"/>
    <w:rsid w:val="00471764"/>
    <w:rsid w:val="00480617"/>
    <w:rsid w:val="004840F6"/>
    <w:rsid w:val="00485B2C"/>
    <w:rsid w:val="00495514"/>
    <w:rsid w:val="004A26B5"/>
    <w:rsid w:val="004B747B"/>
    <w:rsid w:val="004D15C9"/>
    <w:rsid w:val="004D4448"/>
    <w:rsid w:val="004F0259"/>
    <w:rsid w:val="00522558"/>
    <w:rsid w:val="00534425"/>
    <w:rsid w:val="005433E0"/>
    <w:rsid w:val="00561A5B"/>
    <w:rsid w:val="00566BE9"/>
    <w:rsid w:val="005711CD"/>
    <w:rsid w:val="005A3CA4"/>
    <w:rsid w:val="005C0665"/>
    <w:rsid w:val="005D06A7"/>
    <w:rsid w:val="005D4C90"/>
    <w:rsid w:val="005D5B9F"/>
    <w:rsid w:val="00626639"/>
    <w:rsid w:val="00631002"/>
    <w:rsid w:val="00634939"/>
    <w:rsid w:val="006461F9"/>
    <w:rsid w:val="00671AE0"/>
    <w:rsid w:val="00677180"/>
    <w:rsid w:val="00684EE1"/>
    <w:rsid w:val="0069188A"/>
    <w:rsid w:val="00697EB4"/>
    <w:rsid w:val="006A62C1"/>
    <w:rsid w:val="006A63DE"/>
    <w:rsid w:val="006F4BE7"/>
    <w:rsid w:val="007055A1"/>
    <w:rsid w:val="007119E8"/>
    <w:rsid w:val="00725C19"/>
    <w:rsid w:val="00730CFB"/>
    <w:rsid w:val="00742901"/>
    <w:rsid w:val="00767896"/>
    <w:rsid w:val="00777BA7"/>
    <w:rsid w:val="007A39E5"/>
    <w:rsid w:val="007C6EB2"/>
    <w:rsid w:val="007E16FA"/>
    <w:rsid w:val="007E18CB"/>
    <w:rsid w:val="00802C1A"/>
    <w:rsid w:val="00816B9C"/>
    <w:rsid w:val="00834FD0"/>
    <w:rsid w:val="00860F94"/>
    <w:rsid w:val="00871734"/>
    <w:rsid w:val="00885810"/>
    <w:rsid w:val="0088745A"/>
    <w:rsid w:val="008922CA"/>
    <w:rsid w:val="008A4466"/>
    <w:rsid w:val="008B24C1"/>
    <w:rsid w:val="008E0FD2"/>
    <w:rsid w:val="008F4609"/>
    <w:rsid w:val="00917D61"/>
    <w:rsid w:val="009324D5"/>
    <w:rsid w:val="00935A3C"/>
    <w:rsid w:val="00936B4C"/>
    <w:rsid w:val="00952F07"/>
    <w:rsid w:val="00954BBA"/>
    <w:rsid w:val="009561BF"/>
    <w:rsid w:val="00967A3B"/>
    <w:rsid w:val="009775D9"/>
    <w:rsid w:val="009819D7"/>
    <w:rsid w:val="00982060"/>
    <w:rsid w:val="00993E3B"/>
    <w:rsid w:val="009A3AC2"/>
    <w:rsid w:val="009A7A9A"/>
    <w:rsid w:val="009C4CAC"/>
    <w:rsid w:val="009D0165"/>
    <w:rsid w:val="009F3EFD"/>
    <w:rsid w:val="00A10A67"/>
    <w:rsid w:val="00A11CB3"/>
    <w:rsid w:val="00A16B2F"/>
    <w:rsid w:val="00A2570B"/>
    <w:rsid w:val="00A43B27"/>
    <w:rsid w:val="00A50D1E"/>
    <w:rsid w:val="00A51BFC"/>
    <w:rsid w:val="00A5704B"/>
    <w:rsid w:val="00A70E01"/>
    <w:rsid w:val="00A743ED"/>
    <w:rsid w:val="00A800D1"/>
    <w:rsid w:val="00A86568"/>
    <w:rsid w:val="00A8797B"/>
    <w:rsid w:val="00AA2317"/>
    <w:rsid w:val="00AB1C28"/>
    <w:rsid w:val="00AB37CE"/>
    <w:rsid w:val="00AB49A5"/>
    <w:rsid w:val="00AB6EB9"/>
    <w:rsid w:val="00AC1B26"/>
    <w:rsid w:val="00AE215C"/>
    <w:rsid w:val="00AE5940"/>
    <w:rsid w:val="00AE76C5"/>
    <w:rsid w:val="00AF01E2"/>
    <w:rsid w:val="00B12033"/>
    <w:rsid w:val="00B122E7"/>
    <w:rsid w:val="00B122ED"/>
    <w:rsid w:val="00B530CB"/>
    <w:rsid w:val="00B55E09"/>
    <w:rsid w:val="00B647D6"/>
    <w:rsid w:val="00B87542"/>
    <w:rsid w:val="00B96738"/>
    <w:rsid w:val="00BA4055"/>
    <w:rsid w:val="00BA56DD"/>
    <w:rsid w:val="00BA6A0F"/>
    <w:rsid w:val="00BB179D"/>
    <w:rsid w:val="00BB6CA9"/>
    <w:rsid w:val="00BD39E9"/>
    <w:rsid w:val="00BE00B0"/>
    <w:rsid w:val="00BE0D31"/>
    <w:rsid w:val="00BE2B77"/>
    <w:rsid w:val="00BE4B9D"/>
    <w:rsid w:val="00BF7DF7"/>
    <w:rsid w:val="00C30CE9"/>
    <w:rsid w:val="00C3362A"/>
    <w:rsid w:val="00C65722"/>
    <w:rsid w:val="00C7335F"/>
    <w:rsid w:val="00C858A3"/>
    <w:rsid w:val="00CA42AF"/>
    <w:rsid w:val="00CC46CF"/>
    <w:rsid w:val="00CD5605"/>
    <w:rsid w:val="00CE1D21"/>
    <w:rsid w:val="00CF5A4D"/>
    <w:rsid w:val="00D1065E"/>
    <w:rsid w:val="00D13821"/>
    <w:rsid w:val="00D20E02"/>
    <w:rsid w:val="00D2297E"/>
    <w:rsid w:val="00D23048"/>
    <w:rsid w:val="00D32D16"/>
    <w:rsid w:val="00D47925"/>
    <w:rsid w:val="00D47F61"/>
    <w:rsid w:val="00D92D37"/>
    <w:rsid w:val="00DA19B1"/>
    <w:rsid w:val="00DA4EDD"/>
    <w:rsid w:val="00DD390C"/>
    <w:rsid w:val="00DE4471"/>
    <w:rsid w:val="00DE4F14"/>
    <w:rsid w:val="00DF6A29"/>
    <w:rsid w:val="00E2444C"/>
    <w:rsid w:val="00E2483A"/>
    <w:rsid w:val="00E25AD2"/>
    <w:rsid w:val="00E263E5"/>
    <w:rsid w:val="00E27B4B"/>
    <w:rsid w:val="00E6295D"/>
    <w:rsid w:val="00E62C18"/>
    <w:rsid w:val="00E62C80"/>
    <w:rsid w:val="00EA3029"/>
    <w:rsid w:val="00EA576C"/>
    <w:rsid w:val="00EA6EFB"/>
    <w:rsid w:val="00EB0C3F"/>
    <w:rsid w:val="00ED1E9F"/>
    <w:rsid w:val="00ED3481"/>
    <w:rsid w:val="00F0639D"/>
    <w:rsid w:val="00F077CF"/>
    <w:rsid w:val="00F14B08"/>
    <w:rsid w:val="00F26B4F"/>
    <w:rsid w:val="00F42091"/>
    <w:rsid w:val="00F436C5"/>
    <w:rsid w:val="00F50760"/>
    <w:rsid w:val="00F50E7B"/>
    <w:rsid w:val="00F572C7"/>
    <w:rsid w:val="00F615E3"/>
    <w:rsid w:val="00F61A5B"/>
    <w:rsid w:val="00F7095C"/>
    <w:rsid w:val="00F71B0F"/>
    <w:rsid w:val="00F74A47"/>
    <w:rsid w:val="00F75390"/>
    <w:rsid w:val="00FB185E"/>
    <w:rsid w:val="00FC7F1C"/>
    <w:rsid w:val="00FD1EA7"/>
    <w:rsid w:val="00FD3684"/>
    <w:rsid w:val="00FE51F1"/>
    <w:rsid w:val="00FF5B7D"/>
    <w:rsid w:val="00FF6EB1"/>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A07073BE-B76B-234E-9D98-284AA528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link w:val="VoettekstChar"/>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z-inspring">
    <w:name w:val="evz-inspring"/>
    <w:basedOn w:val="Standaard"/>
    <w:qFormat/>
    <w:rsid w:val="00376E11"/>
    <w:pPr>
      <w:spacing w:line="200" w:lineRule="atLeast"/>
      <w:ind w:left="284" w:hanging="284"/>
    </w:pPr>
    <w:rPr>
      <w:sz w:val="16"/>
    </w:rPr>
  </w:style>
  <w:style w:type="paragraph" w:styleId="Lijstalinea">
    <w:name w:val="List Paragraph"/>
    <w:basedOn w:val="Standaard"/>
    <w:rsid w:val="00480617"/>
    <w:pPr>
      <w:ind w:left="720"/>
      <w:contextualSpacing/>
    </w:pPr>
  </w:style>
  <w:style w:type="paragraph" w:styleId="Ballontekst">
    <w:name w:val="Balloon Text"/>
    <w:basedOn w:val="Standaard"/>
    <w:link w:val="BallontekstChar"/>
    <w:semiHidden/>
    <w:unhideWhenUsed/>
    <w:rsid w:val="0008707B"/>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08707B"/>
    <w:rPr>
      <w:color w:val="333333"/>
      <w:sz w:val="18"/>
      <w:szCs w:val="18"/>
      <w:lang w:eastAsia="en-US"/>
    </w:rPr>
  </w:style>
  <w:style w:type="character" w:customStyle="1" w:styleId="VoettekstChar">
    <w:name w:val="Voettekst Char"/>
    <w:basedOn w:val="Standaardalinea-lettertype"/>
    <w:link w:val="Voettekst"/>
    <w:rsid w:val="000C1D4D"/>
    <w:rPr>
      <w:rFonts w:ascii="Arial" w:hAnsi="Arial"/>
      <w:color w:val="333333"/>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vz10/Desktop/CAOSPORT/%20sjabloon%20CAOSPORT%20referentiefunctie.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sjabloon CAOSPORT referentiefunctie.dotx</Template>
  <TotalTime>1</TotalTime>
  <Pages>1</Pages>
  <Words>452</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RESULTAATPROFIEL</vt:lpstr>
    </vt:vector>
  </TitlesOfParts>
  <Company>EVZ Organisatie-adviseurs</Company>
  <LinksUpToDate>false</LinksUpToDate>
  <CharactersWithSpaces>2934</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 EVZ</dc:creator>
  <cp:keywords/>
  <cp:lastModifiedBy>EVZ EVZ</cp:lastModifiedBy>
  <cp:revision>5</cp:revision>
  <cp:lastPrinted>2018-07-19T09:22:00Z</cp:lastPrinted>
  <dcterms:created xsi:type="dcterms:W3CDTF">2018-10-12T09:49:00Z</dcterms:created>
  <dcterms:modified xsi:type="dcterms:W3CDTF">2019-01-23T15:16:00Z</dcterms:modified>
</cp:coreProperties>
</file>